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FEEC" w14:textId="77777777" w:rsidR="00BB6790" w:rsidRPr="00D9134A" w:rsidRDefault="00BB6790" w:rsidP="00F53FC6">
      <w:pPr>
        <w:pStyle w:val="Titolo1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828A177" w14:textId="77777777" w:rsidR="00BB6790" w:rsidRPr="00D9134A" w:rsidRDefault="00BB6790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-1" w:hanging="2"/>
        <w:jc w:val="center"/>
        <w:rPr>
          <w:rFonts w:ascii="Arial" w:eastAsia="Tahoma" w:hAnsi="Arial" w:cs="Arial"/>
          <w:color w:val="000000" w:themeColor="text1"/>
          <w:position w:val="-1"/>
        </w:rPr>
      </w:pPr>
    </w:p>
    <w:p w14:paraId="59C72420" w14:textId="77777777" w:rsidR="00BB6790" w:rsidRPr="00D9134A" w:rsidRDefault="00BB6790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-1" w:hanging="2"/>
        <w:jc w:val="center"/>
        <w:rPr>
          <w:rFonts w:ascii="Arial" w:eastAsia="Tahoma" w:hAnsi="Arial" w:cs="Arial"/>
          <w:color w:val="000000" w:themeColor="text1"/>
          <w:position w:val="-1"/>
        </w:rPr>
      </w:pPr>
    </w:p>
    <w:p w14:paraId="47C1CDEB" w14:textId="77777777" w:rsidR="00BB6790" w:rsidRPr="00D9134A" w:rsidRDefault="00246B2C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-1" w:hanging="2"/>
        <w:jc w:val="right"/>
        <w:rPr>
          <w:rFonts w:ascii="Arial" w:eastAsia="Tahoma" w:hAnsi="Arial" w:cs="Arial"/>
          <w:color w:val="000000" w:themeColor="text1"/>
          <w:position w:val="-1"/>
        </w:rPr>
      </w:pPr>
      <w:r w:rsidRPr="00D9134A">
        <w:rPr>
          <w:rFonts w:ascii="Arial" w:eastAsia="Tahoma" w:hAnsi="Arial" w:cs="Arial"/>
          <w:b/>
          <w:color w:val="000000" w:themeColor="text1"/>
          <w:position w:val="-1"/>
        </w:rPr>
        <w:t>Spett.le Associazione Rete città sane</w:t>
      </w:r>
    </w:p>
    <w:p w14:paraId="71059898" w14:textId="77777777" w:rsidR="00BB6790" w:rsidRPr="00D9134A" w:rsidRDefault="00246B2C">
      <w:pPr>
        <w:tabs>
          <w:tab w:val="left" w:pos="0"/>
        </w:tabs>
        <w:spacing w:after="0" w:line="240" w:lineRule="auto"/>
        <w:ind w:left="-1" w:hanging="2"/>
        <w:jc w:val="right"/>
        <w:rPr>
          <w:rFonts w:ascii="Arial" w:eastAsia="Tahoma" w:hAnsi="Arial" w:cs="Arial"/>
          <w:color w:val="000000" w:themeColor="text1"/>
          <w:position w:val="-1"/>
        </w:rPr>
      </w:pPr>
      <w:r w:rsidRPr="00D9134A">
        <w:rPr>
          <w:rFonts w:ascii="Arial" w:eastAsia="Tahoma" w:hAnsi="Arial" w:cs="Arial"/>
          <w:color w:val="000000" w:themeColor="text1"/>
          <w:position w:val="-1"/>
        </w:rPr>
        <w:t xml:space="preserve">presso la sede operativa della </w:t>
      </w:r>
    </w:p>
    <w:p w14:paraId="7EBBF274" w14:textId="77777777" w:rsidR="00BB6790" w:rsidRPr="00D9134A" w:rsidRDefault="00246B2C">
      <w:pPr>
        <w:tabs>
          <w:tab w:val="left" w:pos="0"/>
        </w:tabs>
        <w:spacing w:after="0" w:line="240" w:lineRule="auto"/>
        <w:ind w:left="-1" w:hanging="2"/>
        <w:jc w:val="right"/>
        <w:rPr>
          <w:rFonts w:ascii="Arial" w:eastAsia="Tahoma" w:hAnsi="Arial" w:cs="Arial"/>
          <w:color w:val="000000" w:themeColor="text1"/>
          <w:position w:val="-1"/>
        </w:rPr>
      </w:pPr>
      <w:r w:rsidRPr="00D9134A">
        <w:rPr>
          <w:rFonts w:ascii="Arial" w:eastAsia="Tahoma" w:hAnsi="Arial" w:cs="Arial"/>
          <w:color w:val="000000" w:themeColor="text1"/>
          <w:position w:val="-1"/>
        </w:rPr>
        <w:t>presidenza nazionale Comune di Ancona</w:t>
      </w:r>
    </w:p>
    <w:p w14:paraId="0B515A6F" w14:textId="77777777" w:rsidR="00BB6790" w:rsidRPr="00D9134A" w:rsidRDefault="00246B2C">
      <w:pPr>
        <w:tabs>
          <w:tab w:val="left" w:pos="0"/>
        </w:tabs>
        <w:spacing w:after="0" w:line="240" w:lineRule="auto"/>
        <w:ind w:left="-1" w:hanging="2"/>
        <w:jc w:val="right"/>
        <w:rPr>
          <w:rFonts w:ascii="Arial" w:eastAsia="Tahoma" w:hAnsi="Arial" w:cs="Arial"/>
          <w:color w:val="000000" w:themeColor="text1"/>
          <w:position w:val="-1"/>
          <w:shd w:val="clear" w:color="auto" w:fill="FFFF00"/>
        </w:rPr>
      </w:pPr>
      <w:proofErr w:type="spellStart"/>
      <w:r w:rsidRPr="00D9134A">
        <w:rPr>
          <w:rFonts w:ascii="Arial" w:eastAsia="Tahoma" w:hAnsi="Arial" w:cs="Arial"/>
          <w:b/>
          <w:color w:val="000000" w:themeColor="text1"/>
          <w:position w:val="-1"/>
        </w:rPr>
        <w:t>pec</w:t>
      </w:r>
      <w:proofErr w:type="spellEnd"/>
      <w:r w:rsidRPr="00D9134A">
        <w:rPr>
          <w:rFonts w:ascii="Arial" w:eastAsia="Tahoma" w:hAnsi="Arial" w:cs="Arial"/>
          <w:b/>
          <w:color w:val="000000" w:themeColor="text1"/>
          <w:position w:val="-1"/>
        </w:rPr>
        <w:t xml:space="preserve">:  </w:t>
      </w:r>
      <w:hyperlink r:id="rId5">
        <w:r w:rsidRPr="00D9134A">
          <w:rPr>
            <w:rFonts w:ascii="Arial" w:eastAsia="Titillium Web" w:hAnsi="Arial" w:cs="Arial"/>
            <w:b/>
            <w:color w:val="000000" w:themeColor="text1"/>
            <w:position w:val="-1"/>
            <w:u w:val="single"/>
            <w:shd w:val="clear" w:color="auto" w:fill="FFFFFF"/>
          </w:rPr>
          <w:t>info@pec.retecittasane.it</w:t>
        </w:r>
      </w:hyperlink>
      <w:r w:rsidRPr="00D9134A">
        <w:rPr>
          <w:rFonts w:ascii="Arial" w:eastAsia="Titillium Web" w:hAnsi="Arial" w:cs="Arial"/>
          <w:color w:val="000000" w:themeColor="text1"/>
          <w:position w:val="-1"/>
          <w:shd w:val="clear" w:color="auto" w:fill="FFFFFF"/>
        </w:rPr>
        <w:t>.</w:t>
      </w:r>
    </w:p>
    <w:p w14:paraId="4B070567" w14:textId="77777777" w:rsidR="00BB6790" w:rsidRPr="00D9134A" w:rsidRDefault="00BB6790">
      <w:pPr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left="-1" w:hanging="2"/>
        <w:jc w:val="center"/>
        <w:rPr>
          <w:rFonts w:ascii="Arial" w:eastAsia="Tahoma" w:hAnsi="Arial" w:cs="Arial"/>
          <w:color w:val="000000" w:themeColor="text1"/>
          <w:position w:val="-1"/>
          <w:shd w:val="clear" w:color="auto" w:fill="FFFF00"/>
        </w:rPr>
      </w:pPr>
    </w:p>
    <w:p w14:paraId="67671948" w14:textId="77777777" w:rsidR="00BB6790" w:rsidRPr="00D9134A" w:rsidRDefault="00BB6790">
      <w:pPr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left="-1" w:hanging="2"/>
        <w:jc w:val="center"/>
        <w:rPr>
          <w:rFonts w:ascii="Arial" w:eastAsia="Tahoma" w:hAnsi="Arial" w:cs="Arial"/>
          <w:color w:val="000000" w:themeColor="text1"/>
          <w:position w:val="-1"/>
          <w:shd w:val="clear" w:color="auto" w:fill="FFFF00"/>
        </w:rPr>
      </w:pPr>
    </w:p>
    <w:p w14:paraId="7941C954" w14:textId="77777777" w:rsidR="00BB6790" w:rsidRPr="00D9134A" w:rsidRDefault="00BB6790">
      <w:pPr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left="-1" w:hanging="2"/>
        <w:rPr>
          <w:rFonts w:ascii="Arial" w:eastAsia="Tahoma" w:hAnsi="Arial" w:cs="Arial"/>
          <w:color w:val="000000" w:themeColor="text1"/>
          <w:position w:val="-1"/>
          <w:shd w:val="clear" w:color="auto" w:fill="FFFF00"/>
        </w:rPr>
      </w:pPr>
    </w:p>
    <w:p w14:paraId="6BD5841D" w14:textId="77777777" w:rsidR="00BB6790" w:rsidRPr="00D9134A" w:rsidRDefault="00246B2C">
      <w:pPr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left="-1" w:hanging="2"/>
        <w:jc w:val="center"/>
        <w:rPr>
          <w:rFonts w:ascii="Arial" w:eastAsia="Tahoma" w:hAnsi="Arial" w:cs="Arial"/>
          <w:color w:val="000000" w:themeColor="text1"/>
          <w:position w:val="-1"/>
        </w:rPr>
      </w:pPr>
      <w:r w:rsidRPr="00D9134A">
        <w:rPr>
          <w:rFonts w:ascii="Arial" w:eastAsia="Tahoma" w:hAnsi="Arial" w:cs="Arial"/>
          <w:b/>
          <w:color w:val="000000" w:themeColor="text1"/>
          <w:position w:val="-1"/>
        </w:rPr>
        <w:t>OGGETTO: Bando Oscar della Salute 2023 (progetti 2022)</w:t>
      </w:r>
    </w:p>
    <w:p w14:paraId="793A3C40" w14:textId="77777777" w:rsidR="00BB6790" w:rsidRPr="00D9134A" w:rsidRDefault="00BB6790">
      <w:pPr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left="-1" w:hanging="2"/>
        <w:jc w:val="center"/>
        <w:rPr>
          <w:rFonts w:ascii="Arial" w:eastAsia="Tahoma" w:hAnsi="Arial" w:cs="Arial"/>
          <w:color w:val="000000" w:themeColor="text1"/>
          <w:position w:val="-1"/>
        </w:rPr>
      </w:pPr>
    </w:p>
    <w:p w14:paraId="4A265CDC" w14:textId="77777777" w:rsidR="00BB6790" w:rsidRPr="00D9134A" w:rsidRDefault="00BB6790">
      <w:pPr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left="-1" w:hanging="2"/>
        <w:jc w:val="center"/>
        <w:rPr>
          <w:rFonts w:ascii="Arial" w:eastAsia="Tahoma" w:hAnsi="Arial" w:cs="Arial"/>
          <w:color w:val="000000" w:themeColor="text1"/>
          <w:position w:val="-1"/>
        </w:rPr>
      </w:pPr>
    </w:p>
    <w:p w14:paraId="3CC53645" w14:textId="77777777" w:rsidR="00BB6790" w:rsidRPr="00D9134A" w:rsidRDefault="00246B2C">
      <w:pPr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left="-1" w:hanging="2"/>
        <w:jc w:val="center"/>
        <w:rPr>
          <w:rFonts w:ascii="Arial" w:eastAsia="Arial" w:hAnsi="Arial" w:cs="Arial"/>
          <w:i/>
          <w:color w:val="000000" w:themeColor="text1"/>
          <w:position w:val="-1"/>
        </w:rPr>
      </w:pPr>
      <w:r w:rsidRPr="00D9134A">
        <w:rPr>
          <w:rFonts w:ascii="Arial" w:eastAsia="Tahoma" w:hAnsi="Arial" w:cs="Arial"/>
          <w:b/>
          <w:color w:val="000000" w:themeColor="text1"/>
          <w:position w:val="-1"/>
        </w:rPr>
        <w:t xml:space="preserve">Premio Nazionale Rete Città Sane – OMS </w:t>
      </w:r>
    </w:p>
    <w:p w14:paraId="74BFC071" w14:textId="77777777" w:rsidR="00BB6790" w:rsidRPr="00D9134A" w:rsidRDefault="00000000">
      <w:pPr>
        <w:keepNext/>
        <w:numPr>
          <w:ilvl w:val="0"/>
          <w:numId w:val="2"/>
        </w:numPr>
        <w:tabs>
          <w:tab w:val="left" w:pos="0"/>
        </w:tabs>
        <w:spacing w:after="0" w:line="240" w:lineRule="auto"/>
        <w:ind w:hanging="3"/>
        <w:jc w:val="center"/>
        <w:rPr>
          <w:rFonts w:ascii="Arial" w:eastAsia="Tahoma" w:hAnsi="Arial" w:cs="Arial"/>
          <w:color w:val="000000" w:themeColor="text1"/>
          <w:position w:val="-1"/>
        </w:rPr>
      </w:pPr>
      <w:hyperlink r:id="rId6">
        <w:r w:rsidR="00246B2C" w:rsidRPr="00D9134A">
          <w:rPr>
            <w:rFonts w:ascii="Arial" w:eastAsia="Tahoma" w:hAnsi="Arial" w:cs="Arial"/>
            <w:b/>
            <w:color w:val="000000" w:themeColor="text1"/>
            <w:position w:val="-1"/>
            <w:u w:val="single"/>
          </w:rPr>
          <w:t>www.retecittasane.it</w:t>
        </w:r>
      </w:hyperlink>
    </w:p>
    <w:p w14:paraId="7B46A4E9" w14:textId="77777777" w:rsidR="00BB6790" w:rsidRPr="00D9134A" w:rsidRDefault="00BB6790">
      <w:pPr>
        <w:tabs>
          <w:tab w:val="left" w:pos="0"/>
        </w:tabs>
        <w:spacing w:after="0" w:line="240" w:lineRule="auto"/>
        <w:ind w:left="-1" w:hanging="2"/>
        <w:rPr>
          <w:rFonts w:ascii="Arial" w:eastAsia="Tahoma" w:hAnsi="Arial" w:cs="Arial"/>
          <w:color w:val="000000" w:themeColor="text1"/>
          <w:position w:val="-1"/>
        </w:rPr>
      </w:pPr>
    </w:p>
    <w:p w14:paraId="60317435" w14:textId="77777777" w:rsidR="00BB6790" w:rsidRPr="00D9134A" w:rsidRDefault="00246B2C">
      <w:pPr>
        <w:keepNext/>
        <w:numPr>
          <w:ilvl w:val="0"/>
          <w:numId w:val="3"/>
        </w:numPr>
        <w:tabs>
          <w:tab w:val="left" w:pos="0"/>
        </w:tabs>
        <w:spacing w:after="0" w:line="240" w:lineRule="auto"/>
        <w:ind w:left="-1" w:hanging="2"/>
        <w:jc w:val="center"/>
        <w:rPr>
          <w:rFonts w:ascii="Arial" w:eastAsia="Tahoma" w:hAnsi="Arial" w:cs="Arial"/>
          <w:i/>
          <w:color w:val="000000" w:themeColor="text1"/>
          <w:position w:val="-1"/>
        </w:rPr>
      </w:pPr>
      <w:r w:rsidRPr="00D9134A">
        <w:rPr>
          <w:rFonts w:ascii="Arial" w:eastAsia="Tahoma" w:hAnsi="Arial" w:cs="Arial"/>
          <w:color w:val="000000" w:themeColor="text1"/>
          <w:position w:val="-1"/>
        </w:rPr>
        <w:t>MODULO PRESENTAZIONE PROGETTO</w:t>
      </w:r>
    </w:p>
    <w:p w14:paraId="6443EEF1" w14:textId="77777777" w:rsidR="00BB6790" w:rsidRPr="00D9134A" w:rsidRDefault="00BB6790">
      <w:pPr>
        <w:tabs>
          <w:tab w:val="left" w:pos="0"/>
        </w:tabs>
        <w:spacing w:after="0" w:line="240" w:lineRule="auto"/>
        <w:ind w:left="-1" w:hanging="2"/>
        <w:jc w:val="center"/>
        <w:rPr>
          <w:rFonts w:ascii="Arial" w:eastAsia="Tahoma" w:hAnsi="Arial" w:cs="Arial"/>
          <w:color w:val="000000" w:themeColor="text1"/>
          <w:position w:val="-1"/>
        </w:rPr>
      </w:pPr>
    </w:p>
    <w:p w14:paraId="1D327DA7" w14:textId="77777777" w:rsidR="00BB6790" w:rsidRPr="00D9134A" w:rsidRDefault="00BB6790">
      <w:pPr>
        <w:spacing w:after="0" w:line="240" w:lineRule="auto"/>
        <w:ind w:left="-1" w:hanging="2"/>
        <w:jc w:val="center"/>
        <w:rPr>
          <w:rFonts w:ascii="Arial" w:eastAsia="Tahoma" w:hAnsi="Arial" w:cs="Arial"/>
          <w:color w:val="000000" w:themeColor="text1"/>
          <w:position w:val="-1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1919"/>
        <w:gridCol w:w="5237"/>
      </w:tblGrid>
      <w:tr w:rsidR="00D9134A" w:rsidRPr="00D9134A" w14:paraId="1D59686A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50B2AF0" w14:textId="77777777" w:rsidR="00BB6790" w:rsidRPr="00D9134A" w:rsidRDefault="00246B2C">
            <w:pPr>
              <w:keepNext/>
              <w:tabs>
                <w:tab w:val="left" w:pos="0"/>
              </w:tabs>
              <w:spacing w:after="0" w:line="240" w:lineRule="auto"/>
              <w:ind w:left="-1" w:hanging="2"/>
              <w:jc w:val="center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Titolo del progetto</w:t>
            </w:r>
          </w:p>
          <w:p w14:paraId="087B06AB" w14:textId="77777777" w:rsidR="00BB6790" w:rsidRPr="00D9134A" w:rsidRDefault="00BB6790">
            <w:pPr>
              <w:spacing w:after="0" w:line="240" w:lineRule="auto"/>
              <w:ind w:left="-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2BB7A8D" w14:textId="77777777" w:rsidR="00BB6790" w:rsidRPr="00D9134A" w:rsidRDefault="00246B2C">
            <w:pPr>
              <w:tabs>
                <w:tab w:val="center" w:pos="4819"/>
                <w:tab w:val="right" w:pos="9638"/>
              </w:tabs>
              <w:spacing w:after="0" w:line="240" w:lineRule="auto"/>
              <w:ind w:left="-1" w:hanging="2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D9134A">
              <w:rPr>
                <w:rFonts w:ascii="Arial" w:eastAsia="Garamond" w:hAnsi="Arial" w:cs="Arial"/>
                <w:b/>
                <w:bCs/>
                <w:color w:val="000000" w:themeColor="text1"/>
                <w:position w:val="-1"/>
              </w:rPr>
              <w:t>AccogliMi</w:t>
            </w:r>
            <w:proofErr w:type="spellEnd"/>
          </w:p>
        </w:tc>
      </w:tr>
      <w:tr w:rsidR="00D9134A" w:rsidRPr="00D9134A" w14:paraId="484D71AB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A076149" w14:textId="77777777" w:rsidR="00BB6790" w:rsidRPr="00D9134A" w:rsidRDefault="00246B2C">
            <w:pPr>
              <w:spacing w:after="0" w:line="240" w:lineRule="auto"/>
              <w:ind w:left="-1" w:hanging="2"/>
              <w:jc w:val="center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Ente proponente</w:t>
            </w:r>
          </w:p>
          <w:p w14:paraId="582BD887" w14:textId="77777777" w:rsidR="00BB6790" w:rsidRPr="00D9134A" w:rsidRDefault="00BB6790">
            <w:pPr>
              <w:spacing w:after="0" w:line="240" w:lineRule="auto"/>
              <w:ind w:left="-1" w:hanging="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51E96ED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Comune di Milano</w:t>
            </w:r>
          </w:p>
          <w:p w14:paraId="0FA16C7F" w14:textId="77777777" w:rsidR="00D9134A" w:rsidRDefault="00D9134A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Rete di coprogettazione: </w:t>
            </w:r>
          </w:p>
          <w:p w14:paraId="31547A4E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Minotauro IACA società cooperativa </w:t>
            </w:r>
            <w:proofErr w:type="spell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Soc</w:t>
            </w:r>
            <w:proofErr w:type="spell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. Coop,</w:t>
            </w:r>
          </w:p>
          <w:p w14:paraId="1D8EB90F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Diapason cooperativa sociale, </w:t>
            </w:r>
          </w:p>
          <w:p w14:paraId="425C7EB3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Zero5 </w:t>
            </w:r>
            <w:r w:rsidRPr="00D9134A">
              <w:rPr>
                <w:rFonts w:ascii="Arial" w:eastAsia="Calibri" w:hAnsi="Arial" w:cs="Arial"/>
                <w:color w:val="000000" w:themeColor="text1"/>
                <w:position w:val="-1"/>
              </w:rPr>
              <w:t>– Laboratorio di Utopie Metropolitane, Associazione Comunit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à Nuova Onlus, </w:t>
            </w:r>
          </w:p>
          <w:p w14:paraId="1C70B818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Associazione </w:t>
            </w:r>
            <w:proofErr w:type="spell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Ce.A.S</w:t>
            </w:r>
            <w:proofErr w:type="spell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. Centro Ambrosiano di Solidarietà Onlus,</w:t>
            </w:r>
          </w:p>
          <w:p w14:paraId="2FE280DD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Cooperativa Lotta contro L’Emarginazione coop. </w:t>
            </w:r>
            <w:proofErr w:type="spell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Soc</w:t>
            </w:r>
            <w:proofErr w:type="spell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. ONLUS, </w:t>
            </w:r>
          </w:p>
          <w:p w14:paraId="1C25353E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proofErr w:type="spell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Nivalis</w:t>
            </w:r>
            <w:proofErr w:type="spell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Cooperativa Sociale di solidarietà onlus, </w:t>
            </w:r>
          </w:p>
          <w:p w14:paraId="2190BA72" w14:textId="1F76659F" w:rsidR="00BB6790" w:rsidRPr="00D9134A" w:rsidRDefault="00246B2C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Comin cooperativa sociale di solidarietà,</w:t>
            </w:r>
          </w:p>
        </w:tc>
      </w:tr>
      <w:tr w:rsidR="00D9134A" w:rsidRPr="00D9134A" w14:paraId="4EF6305B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E0E872F" w14:textId="77777777" w:rsidR="00BB6790" w:rsidRPr="00D9134A" w:rsidRDefault="00246B2C">
            <w:pPr>
              <w:spacing w:after="0" w:line="240" w:lineRule="auto"/>
              <w:ind w:left="-1" w:hanging="2"/>
              <w:jc w:val="center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Referente del progetto</w:t>
            </w:r>
          </w:p>
          <w:p w14:paraId="6E64FCA6" w14:textId="77777777" w:rsidR="00BB6790" w:rsidRPr="00D9134A" w:rsidRDefault="00BB6790">
            <w:pPr>
              <w:spacing w:after="0" w:line="240" w:lineRule="auto"/>
              <w:ind w:left="-1" w:hanging="2"/>
              <w:jc w:val="center"/>
              <w:rPr>
                <w:rFonts w:ascii="Arial" w:eastAsia="Garamond" w:hAnsi="Arial" w:cs="Arial"/>
                <w:color w:val="000000" w:themeColor="text1"/>
                <w:position w:val="-1"/>
              </w:rPr>
            </w:pPr>
          </w:p>
          <w:p w14:paraId="333D5FB2" w14:textId="77777777" w:rsidR="00BB6790" w:rsidRPr="00D9134A" w:rsidRDefault="00BB6790">
            <w:pPr>
              <w:spacing w:after="0" w:line="240" w:lineRule="auto"/>
              <w:ind w:left="-1" w:hanging="2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48CFF03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nome     MARCO        cognome   PAPA</w:t>
            </w:r>
          </w:p>
          <w:p w14:paraId="401FFDA4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Indirizzo   VIA SILE 8</w:t>
            </w:r>
          </w:p>
          <w:p w14:paraId="26525778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Telefono 02/88460073</w:t>
            </w:r>
            <w:r w:rsidRPr="00D9134A">
              <w:rPr>
                <w:rFonts w:ascii="Arial" w:eastAsia="Arial" w:hAnsi="Arial" w:cs="Arial"/>
                <w:color w:val="000000" w:themeColor="text1"/>
                <w:position w:val="-1"/>
              </w:rPr>
              <w:t> </w:t>
            </w:r>
          </w:p>
          <w:p w14:paraId="3FF256BC" w14:textId="55153224" w:rsidR="00BB6790" w:rsidRPr="00D9134A" w:rsidRDefault="00246B2C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e-mail </w:t>
            </w:r>
            <w:r w:rsidR="00D9134A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marco.papa@comune.milano.it</w:t>
            </w:r>
          </w:p>
        </w:tc>
      </w:tr>
      <w:tr w:rsidR="00D9134A" w:rsidRPr="00D9134A" w14:paraId="2C5E32C1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5A9E687" w14:textId="77777777" w:rsidR="00BB6790" w:rsidRPr="00D9134A" w:rsidRDefault="00246B2C">
            <w:pPr>
              <w:spacing w:after="0" w:line="240" w:lineRule="auto"/>
              <w:ind w:left="-1" w:hanging="2"/>
              <w:jc w:val="center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Città in cui ha avuto luogo il progetto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1FDB037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Milano </w:t>
            </w:r>
          </w:p>
        </w:tc>
      </w:tr>
      <w:tr w:rsidR="00D9134A" w:rsidRPr="00D9134A" w14:paraId="5604F6E3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4CDEADC" w14:textId="77777777" w:rsidR="00BB6790" w:rsidRPr="00D9134A" w:rsidRDefault="00246B2C">
            <w:pPr>
              <w:spacing w:after="0" w:line="240" w:lineRule="auto"/>
              <w:ind w:left="-1" w:hanging="2"/>
              <w:jc w:val="center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 xml:space="preserve">n. abitanti </w:t>
            </w:r>
            <w:proofErr w:type="gramStart"/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del  Comune</w:t>
            </w:r>
            <w:proofErr w:type="gramEnd"/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AB7BE1B" w14:textId="69561CBD" w:rsidR="00BB6790" w:rsidRPr="00D9134A" w:rsidRDefault="00246B2C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1</w:t>
            </w:r>
            <w:r w:rsidR="00D9134A">
              <w:rPr>
                <w:rFonts w:ascii="Arial" w:eastAsia="Garamond" w:hAnsi="Arial" w:cs="Arial"/>
                <w:color w:val="000000" w:themeColor="text1"/>
                <w:position w:val="-1"/>
              </w:rPr>
              <w:t>.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353</w:t>
            </w:r>
            <w:r w:rsidR="00D9134A">
              <w:rPr>
                <w:rFonts w:ascii="Arial" w:eastAsia="Garamond" w:hAnsi="Arial" w:cs="Arial"/>
                <w:color w:val="000000" w:themeColor="text1"/>
                <w:position w:val="-1"/>
              </w:rPr>
              <w:t>.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718 abitanti</w:t>
            </w:r>
          </w:p>
        </w:tc>
      </w:tr>
      <w:tr w:rsidR="00D9134A" w:rsidRPr="00D9134A" w14:paraId="0F26AC93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7803D95" w14:textId="77777777" w:rsidR="00BB6790" w:rsidRPr="00D9134A" w:rsidRDefault="00246B2C">
            <w:pPr>
              <w:spacing w:after="0" w:line="240" w:lineRule="auto"/>
              <w:ind w:left="-1" w:hanging="2"/>
              <w:jc w:val="center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Durata del progetto:</w:t>
            </w:r>
          </w:p>
          <w:p w14:paraId="2DC72BD0" w14:textId="77777777" w:rsidR="00BB6790" w:rsidRPr="00D9134A" w:rsidRDefault="00246B2C">
            <w:pPr>
              <w:spacing w:after="0" w:line="240" w:lineRule="auto"/>
              <w:ind w:left="-1" w:hanging="2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( Esprimere</w:t>
            </w:r>
            <w:proofErr w:type="gram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la durata in mesi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CE88442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20 mesi</w:t>
            </w:r>
          </w:p>
        </w:tc>
      </w:tr>
      <w:tr w:rsidR="00D9134A" w:rsidRPr="00D9134A" w14:paraId="12ADFAE4" w14:textId="77777777">
        <w:trPr>
          <w:trHeight w:val="1"/>
        </w:trPr>
        <w:tc>
          <w:tcPr>
            <w:tcW w:w="5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9B739A6" w14:textId="77777777" w:rsidR="00BB6790" w:rsidRPr="00D9134A" w:rsidRDefault="00246B2C">
            <w:pPr>
              <w:spacing w:after="0" w:line="240" w:lineRule="auto"/>
              <w:ind w:left="-1" w:hanging="2"/>
              <w:jc w:val="center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Descrizione di sintesi del progetto.</w:t>
            </w:r>
          </w:p>
          <w:p w14:paraId="652B82A0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(Massimo 30 righe)</w:t>
            </w:r>
          </w:p>
          <w:p w14:paraId="513F0E7D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la descrizione deve comprendere anche la metodologia di progettazione </w:t>
            </w:r>
          </w:p>
        </w:tc>
        <w:tc>
          <w:tcPr>
            <w:tcW w:w="6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B1BAD7E" w14:textId="419A1006" w:rsidR="00BB6790" w:rsidRP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  <w:shd w:val="clear" w:color="auto" w:fill="FFFFFF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  <w:shd w:val="clear" w:color="auto" w:fill="FFFFFF"/>
              </w:rPr>
              <w:t xml:space="preserve">La pandemia ha drasticamente aumentato i casi di disagio psicologico tra gli/le adolescenti. Questo tipo di </w:t>
            </w:r>
            <w:r w:rsidR="00D9134A" w:rsidRPr="00D9134A">
              <w:rPr>
                <w:rFonts w:ascii="Arial" w:eastAsia="Garamond" w:hAnsi="Arial" w:cs="Arial"/>
                <w:color w:val="000000" w:themeColor="text1"/>
                <w:position w:val="-1"/>
                <w:shd w:val="clear" w:color="auto" w:fill="FFFFFF"/>
              </w:rPr>
              <w:t>disagio rappresenta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  <w:shd w:val="clear" w:color="auto" w:fill="FFFFFF"/>
              </w:rPr>
              <w:t xml:space="preserve"> una </w:t>
            </w:r>
            <w:proofErr w:type="gram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  <w:shd w:val="clear" w:color="auto" w:fill="FFFFFF"/>
              </w:rPr>
              <w:t>tra  le</w:t>
            </w:r>
            <w:proofErr w:type="gram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  <w:shd w:val="clear" w:color="auto" w:fill="FFFFFF"/>
              </w:rPr>
              <w:t xml:space="preserve"> principali cause di sofferenza tra gli/le adolescenti.</w:t>
            </w:r>
          </w:p>
          <w:p w14:paraId="6FDBC40A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  <w:shd w:val="clear" w:color="auto" w:fill="FFFFFF"/>
              </w:rPr>
              <w:t xml:space="preserve">Al fine di rispondere alla richiesta di aiuto di molti ragazzi e ragazze milanesi l’Amministrazione Comunale ha realizzato il </w:t>
            </w:r>
            <w:proofErr w:type="gram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  <w:shd w:val="clear" w:color="auto" w:fill="FFFFFF"/>
              </w:rPr>
              <w:t>progetto</w:t>
            </w:r>
            <w:proofErr w:type="gram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  <w:shd w:val="clear" w:color="auto" w:fill="FFFFFF"/>
              </w:rPr>
              <w:t xml:space="preserve"> Accoglimi col preciso obiettivo di prevenire il disagio ed evitare la cronicizzazione dei problemi</w:t>
            </w:r>
          </w:p>
          <w:p w14:paraId="5CFCAAD8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Il progetto </w:t>
            </w:r>
            <w:proofErr w:type="spell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AccogliMi</w:t>
            </w:r>
            <w:proofErr w:type="spell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risponde alla necessità di farsi maggiormente carico, a livello municipale, del disagio adolescenziale e delle fatiche delle famiglie, in un’ottica multifocale e multidisciplinare. 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lastRenderedPageBreak/>
              <w:t xml:space="preserve">Il Progetto è stato presentato, nell’ambito di una procedura di </w:t>
            </w:r>
            <w:r w:rsidR="00AC0BF5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coprogettazione,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da una rete di Enti attivi da molti anni nel Comune di Milano sui temi del sostegno e intervento a favore di adolescenti con competenze specifiche e diversificate, perciò in grado di articolare una risposta complessa, integrata e coerente ai bisogni degli adolescenti, impegnati in collaborazioni con SSPT, Municipi, reti </w:t>
            </w:r>
            <w:proofErr w:type="spell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QuBì</w:t>
            </w:r>
            <w:proofErr w:type="spell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e Spazi </w:t>
            </w:r>
            <w:proofErr w:type="spell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WeMi</w:t>
            </w:r>
            <w:proofErr w:type="spell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, tavoli territoriali dei Municipi, tavoli promossi da ATS, UONPIA, Istituti Scolastici, Consultori, Associazioni territoriali. Le diverse specificità di servizi offert</w:t>
            </w:r>
            <w:r w:rsidR="00AC0BF5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dagli Enti coinvolti, insieme al radicamento territoriale, hanno permesso di costruire un progetto che potesse articolarsi in azioni differenti che a diversi livelli si intersecano tra loro, attraverso percorsi - che lavorino in parallelo con ragazzi, famiglie e loro contesti - funzionali a offrire occasioni di ascolto e sostegno personalizzato e flessibile.</w:t>
            </w:r>
          </w:p>
          <w:p w14:paraId="6432FA02" w14:textId="77777777" w:rsidR="00BB6790" w:rsidRPr="00D9134A" w:rsidRDefault="00246B2C" w:rsidP="00AC0BF5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Di fondamentale importanza per il progetto è il costante richiamo al territorio ed il radicamento in esso. Oltre alla possibilità di supporto psicologico offerto sia ai ragazzi che ai genitori, e alla predisposizione di un numero verde a cui i cittadini possono rivolgersi per accedere al progetto o chiedere informazioni, </w:t>
            </w:r>
            <w:proofErr w:type="spell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Accogli</w:t>
            </w:r>
            <w:r w:rsidR="00AC0BF5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MI</w:t>
            </w:r>
            <w:proofErr w:type="spell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prevede una nuova figura professionale che funga da ponte tra i servizi e il territorio. La figura degli operatori di rete si occupa della mappatura, del raccordo con gli altri Enti e dell’accompagnamento alle risorse territoriali formali e informali. Il progetto è stato progettato, organizzato e monitorato nel suo svolgimento grazie all’istituzione di una cabina di regia che vede coinvolti membri appartenenti alle diverse azioni del progetto che si incontrano a cadenze prestabilite durante l’arco dei mesi, i referenti del Comune, i referenti degli Enti del Terzo settore, i referenti dell’ATS e della Rete delle scuole che promuovono salute.</w:t>
            </w:r>
          </w:p>
        </w:tc>
      </w:tr>
      <w:tr w:rsidR="00D9134A" w:rsidRPr="00D9134A" w14:paraId="72E5A957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77EC057" w14:textId="77777777" w:rsidR="00BB6790" w:rsidRPr="00D9134A" w:rsidRDefault="00246B2C">
            <w:pPr>
              <w:spacing w:after="0" w:line="240" w:lineRule="auto"/>
              <w:ind w:left="-1" w:hanging="2"/>
              <w:jc w:val="center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lastRenderedPageBreak/>
              <w:t>Obiettivi del progetto</w:t>
            </w:r>
          </w:p>
          <w:p w14:paraId="14A59656" w14:textId="77777777" w:rsidR="00BB6790" w:rsidRPr="00D9134A" w:rsidRDefault="00246B2C">
            <w:pPr>
              <w:spacing w:after="0" w:line="240" w:lineRule="auto"/>
              <w:ind w:left="-1" w:hanging="2"/>
              <w:jc w:val="center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Descrivere sinteticamente gli obiettivi del progetto 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A97B2E0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Il presente progetto mira ai seguenti obiettivi: </w:t>
            </w:r>
          </w:p>
          <w:p w14:paraId="1B7B5A9D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1) Promozione di una conoscenza diffusa dei servizi dedicati all’adolescenza attivi in città, attraverso un’azione di mappatura continua; </w:t>
            </w:r>
          </w:p>
          <w:p w14:paraId="24AF7E10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2) intercettazione precoce del bisogno e della richiesta di aiuto attraverso l’attivazione di servizi dedicati all’ascolto telefonico e alla consultazione breve per adolescenti e genitori, attraverso supporti psicologi e socio-pedagogici; </w:t>
            </w:r>
          </w:p>
          <w:p w14:paraId="1121DD21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3) consolidamento dei fattori di protezione e intervento precoce riguardo a fattori di rischio relativi alle fragilità presenti in età adolescenziale; </w:t>
            </w:r>
          </w:p>
          <w:p w14:paraId="6837C0B5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4) valorizzazione del gruppo dei pari come fattore protettivo, sia attraverso attivazione di specifici percorsi di gruppo che tramite integrazione dei ragazzi intercettati nei percorsi/laboratori/attività offerte dal territorio; </w:t>
            </w:r>
          </w:p>
          <w:p w14:paraId="276C2821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5) crescita della conoscenza relativa all’evoluzione degli adolescenti, dei loro bisogni e desideri attraverso la costruzione di un sistema di rilevazione e monitoraggio dati permanente; </w:t>
            </w:r>
          </w:p>
          <w:p w14:paraId="1C75A38A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lastRenderedPageBreak/>
              <w:t>6) promozione di una maggiore sinergia e integrazione tra le reti pubblico-privato, a favore dei ragazzi, delle famiglie e della rete stessa;</w:t>
            </w:r>
          </w:p>
          <w:p w14:paraId="3DFBD531" w14:textId="77777777" w:rsid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7) implementazione di una competenza diffusa (sia negli operatori del progetto, che negli operatori formali e informali dei servizi/territori, comunali, di ATS, scolastici) rispetto alla specificità dell’ascolto dedicato all’adolescenza; </w:t>
            </w:r>
          </w:p>
          <w:p w14:paraId="2F8514B8" w14:textId="680FB767" w:rsidR="00BB6790" w:rsidRP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8) messa a disposizione di elementi utili a orientare la programmazione territoriale, attraverso la costruzione e diffusione di una narrazione collettiva e partecipata sull’adolescenza oggi a Milano, con contributo attivo dei ragazzi incontrati.</w:t>
            </w:r>
          </w:p>
          <w:p w14:paraId="1F78A885" w14:textId="77777777" w:rsidR="00BB6790" w:rsidRPr="00D9134A" w:rsidRDefault="00BB6790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</w:p>
        </w:tc>
      </w:tr>
      <w:tr w:rsidR="00D9134A" w:rsidRPr="00D9134A" w14:paraId="52EF89E3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F9E6331" w14:textId="77777777" w:rsidR="00BB6790" w:rsidRPr="00D9134A" w:rsidRDefault="00246B2C">
            <w:pPr>
              <w:spacing w:after="0" w:line="240" w:lineRule="auto"/>
              <w:ind w:left="-1" w:hanging="2"/>
              <w:jc w:val="center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lastRenderedPageBreak/>
              <w:t xml:space="preserve"> tematica a cui il progetto fa riferimento</w:t>
            </w:r>
          </w:p>
          <w:p w14:paraId="2A5040EB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Scegliere una sola delle tre opzioni</w:t>
            </w:r>
          </w:p>
          <w:p w14:paraId="63D7436C" w14:textId="77777777" w:rsidR="00BB6790" w:rsidRPr="00D9134A" w:rsidRDefault="00BB6790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4426E16" w14:textId="01306EB8" w:rsidR="00BB6790" w:rsidRPr="00D9134A" w:rsidRDefault="00246B2C" w:rsidP="00F53FC6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X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Migliorare la crescita della comunità, l'accesso ai beni comuni e ai </w:t>
            </w:r>
            <w:r w:rsidR="00D9134A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servizi.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Una città sana dà il buono esempio promuovendo buone pratiche di promozione della salute ed iniziative informative/divulgative dedicate a tutte le fasce di popolazione;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br/>
            </w:r>
          </w:p>
          <w:p w14:paraId="13861265" w14:textId="77777777" w:rsidR="00BB6790" w:rsidRPr="00D9134A" w:rsidRDefault="00246B2C" w:rsidP="00F53FC6">
            <w:pPr>
              <w:spacing w:after="0" w:line="240" w:lineRule="auto"/>
              <w:ind w:hanging="3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Promuovere la pace e la sicurezza attraverso società </w:t>
            </w:r>
            <w:proofErr w:type="gram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inclusive</w:t>
            </w:r>
            <w:proofErr w:type="gram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Una città dà il buon esempio realizzando progetti a lungo termine finalizzati all'inclusione di persone con fragilità e vulnerabilità e combattendo la discriminazione, la violenza contro le donne, i bambini e il loro sfruttamento;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br/>
            </w:r>
          </w:p>
          <w:p w14:paraId="197C5C59" w14:textId="77777777" w:rsidR="00BB6790" w:rsidRPr="00D9134A" w:rsidRDefault="00246B2C">
            <w:pPr>
              <w:spacing w:after="0" w:line="240" w:lineRule="auto"/>
              <w:ind w:hanging="3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Proteggere il pianeta dal degrado anche attraverso il consumo e la produzione </w:t>
            </w:r>
            <w:proofErr w:type="gram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sostenibili</w:t>
            </w:r>
            <w:proofErr w:type="gram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Una città da il buon esempio intraprendendo percorsi virtuosi ed iniziative finalizzate al recupero delle aree verdi e dell'agricoltura urbana, sostenendo processi per garantire l'accesso al cibo sano, promuovere la sostenibilità alimentare, educare le persone al cibo e alla lotta allo spreco, promuovere e sostenere la ricerca agroalimentare locale.</w:t>
            </w:r>
          </w:p>
        </w:tc>
      </w:tr>
      <w:tr w:rsidR="00D9134A" w:rsidRPr="00D9134A" w14:paraId="2944F54C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A89B536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Azioni realizzate</w:t>
            </w:r>
          </w:p>
          <w:p w14:paraId="1FF9BA1A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Sintetizzare le attività realizzate per conseguire gli obiettivi programmati descrivendole brevemente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A6536FC" w14:textId="77777777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1. </w:t>
            </w: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  <w:u w:val="single"/>
              </w:rPr>
              <w:t>Analisi del contesto del territorio di Milano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. È stata fatta una mappatura ragionata di tutte le risorse territoriali attive nel Comune di Milano in ambito psicologico, sociale e pedagogico di ascolto e accompagnamento di adolescenti (14-18 anni). L ’azione di mappatura/ricognizione sociale è volta ad aggiornare e rinnovare la conoscenza dei soggetti della rete attivabile intorno al progetto, oltre che mobilitare nuova e reciproca capacità e iniziativa operativa, coinvolgendo anche un campione di destinatari diretti.</w:t>
            </w:r>
          </w:p>
          <w:p w14:paraId="27FB3C96" w14:textId="77777777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2. </w:t>
            </w: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  <w:u w:val="single"/>
              </w:rPr>
              <w:t xml:space="preserve">Attivazione dei servizi </w:t>
            </w:r>
            <w:proofErr w:type="spellStart"/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  <w:u w:val="single"/>
              </w:rPr>
              <w:t>AccogliMi</w:t>
            </w:r>
            <w:proofErr w:type="spellEnd"/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  <w:u w:val="single"/>
              </w:rPr>
              <w:t>.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Questa azione prevede l’attivazione della linea telefonica dedicata e la piattaforma chat attraverso cui i cittadini possono contattare il progetto, il servizio di accoglienza telefonica e ascolto telefonico che accoglie le richieste provenienti dai vari canali. A seguito di questo primo contatto e analisi iniziale della domanda gli utenti vengono indirizzati ai servizi più idonei.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br/>
              <w:t xml:space="preserve">3. </w:t>
            </w: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  <w:u w:val="single"/>
              </w:rPr>
              <w:t>È stata realizzata una banca dati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  <w:u w:val="single"/>
              </w:rPr>
              <w:t xml:space="preserve"> 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in cui vengono riportati anonimamente i dati relativi agli utenti e ai bisogni emersi al fine di poter fare un quadro quanto più realistico della domanda e dei bisogni dei cittadini, oltre che della distribuzione sul territorio cittadino delle richieste avanzate.</w:t>
            </w:r>
          </w:p>
          <w:p w14:paraId="159E58E2" w14:textId="77777777" w:rsid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4. </w:t>
            </w: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  <w:u w:val="single"/>
              </w:rPr>
              <w:t>Percorsi specialistici e servizi di rete:</w:t>
            </w: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 xml:space="preserve"> vengono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offerti percorsi di gruppo sul territorio, nelle scuole e in altre istituzioni che offrano un percorso psicoeducativo e pedagogico</w:t>
            </w:r>
            <w:r w:rsidR="00D9134A">
              <w:rPr>
                <w:rFonts w:ascii="Arial" w:eastAsia="Garamond" w:hAnsi="Arial" w:cs="Arial"/>
                <w:color w:val="000000" w:themeColor="text1"/>
                <w:position w:val="-1"/>
              </w:rPr>
              <w:t>.</w:t>
            </w:r>
          </w:p>
          <w:p w14:paraId="6C501491" w14:textId="604DB283" w:rsidR="00BB6790" w:rsidRPr="00D9134A" w:rsidRDefault="00246B2C" w:rsidP="00D9134A">
            <w:pPr>
              <w:spacing w:after="0" w:line="240" w:lineRule="auto"/>
              <w:ind w:left="-3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Accanto a questo, sono previsti percorsi individuali di supporto psicologico secondo il modello della consulenza breve rivolto </w:t>
            </w:r>
            <w:proofErr w:type="gram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ad</w:t>
            </w:r>
            <w:proofErr w:type="gram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adolescenti e ai loro genitori. Tale proposta si svolge nell’ottica della prossimità territoriale e della tempestività di risposta. Nell’ambito della consultazione vengono prestate le dovute attenzioni per connettere </w:t>
            </w:r>
            <w:proofErr w:type="gram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la situazioni</w:t>
            </w:r>
            <w:proofErr w:type="gram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a rischio con i servizi socio-sanitari preposti.</w:t>
            </w:r>
          </w:p>
          <w:p w14:paraId="5731E2DB" w14:textId="659323D8" w:rsidR="00BB6790" w:rsidRPr="00D9134A" w:rsidRDefault="00D9134A" w:rsidP="00D9134A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lastRenderedPageBreak/>
              <w:t>Infine,</w:t>
            </w:r>
            <w:r w:rsidR="00246B2C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vengono offerti percorsi pedagogici individuali di orientamento e accompagnamento ai servizi del territorio in linea con i bisogni emersi. Tale servizio è svolto dagli operatori di rete dislocati nei vari municipi cittadini.</w:t>
            </w:r>
          </w:p>
          <w:p w14:paraId="2FD8BFDB" w14:textId="77777777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5. </w:t>
            </w: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  <w:u w:val="single"/>
              </w:rPr>
              <w:t>Collaborazione con i Servizi Sociali, Sanitari e Sociosanitari Territoriali</w:t>
            </w: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,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oltre che con reti di enti che agiscono sul territorio cittadino al fine di intervenire sul disagio adolescenziale.</w:t>
            </w:r>
          </w:p>
        </w:tc>
      </w:tr>
      <w:tr w:rsidR="00D9134A" w:rsidRPr="00D9134A" w14:paraId="3A5FA3C7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5833C0D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lastRenderedPageBreak/>
              <w:t>Beneficiari finali del progetto e numero</w:t>
            </w:r>
          </w:p>
          <w:p w14:paraId="26A39797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Elencare la/le categorie di beneficiari finali dell’iniziativa, indicandone il numero (se disponibile, o una stima)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CFB3FAA" w14:textId="72C3FA0D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Il progetto si rivolge </w:t>
            </w:r>
            <w:proofErr w:type="gram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ad</w:t>
            </w:r>
            <w:proofErr w:type="gram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adolescenti del territorio di Milano, </w:t>
            </w:r>
            <w:r w:rsidR="00D9134A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alle loro famiglie</w:t>
            </w:r>
            <w:r w:rsid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, 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in particolare ai genitori, e ad operatori che lavorano con utenti della fascia di età del progetto (14-18 anni).</w:t>
            </w:r>
          </w:p>
          <w:p w14:paraId="7DC6455B" w14:textId="77777777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Nell’arco dei primi mesi in cui il progetto è stato attivo sul territorio (aprile-dicembre 2022) sono stati effettuati </w:t>
            </w: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1762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contatti al progetto, </w:t>
            </w: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185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casi accolti, </w:t>
            </w: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107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percorsi individuali attivati e </w:t>
            </w: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21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attività di gruppo effettuate nel territorio. </w:t>
            </w:r>
          </w:p>
        </w:tc>
      </w:tr>
      <w:tr w:rsidR="00D9134A" w:rsidRPr="00D9134A" w14:paraId="6D733025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21ADC8B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Risultati attesi</w:t>
            </w:r>
          </w:p>
          <w:p w14:paraId="5B8B6C67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Specificare i risultati qualitativi e quantitativi 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ECA9632" w14:textId="77777777" w:rsidR="00BB6790" w:rsidRPr="00D9134A" w:rsidRDefault="00BB6790" w:rsidP="00D9134A">
            <w:pPr>
              <w:spacing w:after="0" w:line="240" w:lineRule="auto"/>
              <w:rPr>
                <w:rFonts w:ascii="Arial" w:eastAsia="Garamond" w:hAnsi="Arial" w:cs="Arial"/>
                <w:color w:val="000000" w:themeColor="text1"/>
                <w:position w:val="-1"/>
              </w:rPr>
            </w:pPr>
          </w:p>
          <w:p w14:paraId="0CF0C06D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Nel corso dell’intero progetto, quindi per il biennio 2022 e 2023, ci si aspettava che il progetto potesse totalizzare un numero di contatti pari a 4000, di attivare all’incirca 200 percorsi individuali di consulenza psicologica breve, 100 percorsi individuali sul territorio, e di intercettare all’incirca 600 minori attraverso le attività di gruppo</w:t>
            </w:r>
          </w:p>
          <w:p w14:paraId="0B12DB49" w14:textId="77777777" w:rsidR="00BB6790" w:rsidRPr="00D9134A" w:rsidRDefault="00BB6790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</w:p>
        </w:tc>
      </w:tr>
      <w:tr w:rsidR="00D9134A" w:rsidRPr="00D9134A" w14:paraId="547E473E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70AF738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Risultati raggiunti</w:t>
            </w:r>
          </w:p>
          <w:p w14:paraId="7ABB223D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Specificare i risultati qualitativi e quantitativi 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81D8AF3" w14:textId="77777777" w:rsidR="00BB6790" w:rsidRPr="00D9134A" w:rsidRDefault="00246B2C">
            <w:pPr>
              <w:spacing w:after="0" w:line="240" w:lineRule="auto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Il progetto, ancora in corso d’opera, vede al momento il raggiungimento degli obiettivi prefissati</w:t>
            </w:r>
            <w:r w:rsidR="00F53FC6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.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</w:t>
            </w:r>
          </w:p>
          <w:p w14:paraId="206871CF" w14:textId="77777777" w:rsidR="00BB6790" w:rsidRPr="00D9134A" w:rsidRDefault="00246B2C">
            <w:pPr>
              <w:spacing w:after="0" w:line="240" w:lineRule="auto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Le richieste sono tantissime</w:t>
            </w:r>
            <w:r w:rsidR="00F53FC6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,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le famiglie ricevono un aiuto concreto che spesso il Servizio S</w:t>
            </w:r>
            <w:r w:rsidR="00F53FC6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anitario non riesce a garantire.</w:t>
            </w:r>
          </w:p>
          <w:p w14:paraId="61E2CA78" w14:textId="77777777" w:rsidR="00BB6790" w:rsidRPr="00D9134A" w:rsidRDefault="00246B2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(</w:t>
            </w:r>
            <w:proofErr w:type="spellStart"/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ved</w:t>
            </w:r>
            <w:proofErr w:type="spellEnd"/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. report dati tra gli allegati)</w:t>
            </w:r>
          </w:p>
        </w:tc>
      </w:tr>
      <w:tr w:rsidR="00D9134A" w:rsidRPr="00D9134A" w14:paraId="679EBC2D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B7FF3B6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Scarto progettuale</w:t>
            </w:r>
          </w:p>
          <w:p w14:paraId="46B54CF5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Descrivere lo scarto progettuale tra i risultati attesi e i risultati ottenuti 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456238E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Al momento i risultati ottenuti sono di numero maggiore rispetto a quelli attesi</w:t>
            </w:r>
          </w:p>
        </w:tc>
      </w:tr>
      <w:tr w:rsidR="00D9134A" w:rsidRPr="00D9134A" w14:paraId="17D1814A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FA5F006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Costo totale del progetto (euro)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BF602AD" w14:textId="77777777" w:rsidR="00BB6790" w:rsidRPr="00D9134A" w:rsidRDefault="00246B2C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50</w:t>
            </w:r>
            <w:r w:rsidR="00F53FC6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0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.000,00</w:t>
            </w:r>
          </w:p>
        </w:tc>
      </w:tr>
      <w:tr w:rsidR="00D9134A" w:rsidRPr="00D9134A" w14:paraId="2FA36F32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B59B093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Finanziamenti ottenuti</w:t>
            </w:r>
          </w:p>
          <w:p w14:paraId="1AD7D630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Specificare le fonti di copertura del progetto (risorse proprie, risorse esterne </w:t>
            </w:r>
            <w:r w:rsidRPr="00D9134A">
              <w:rPr>
                <w:rFonts w:ascii="Arial" w:eastAsia="Calibri" w:hAnsi="Arial" w:cs="Arial"/>
                <w:color w:val="000000" w:themeColor="text1"/>
                <w:position w:val="-1"/>
              </w:rPr>
              <w:t>– specificarne la tipologia)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540C0A8" w14:textId="77777777" w:rsidR="00BB6790" w:rsidRPr="00D9134A" w:rsidRDefault="00BB6790">
            <w:p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</w:p>
          <w:p w14:paraId="002BE957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FONDI LEGGE 285 INFANZIA E ADOLESCENZA</w:t>
            </w:r>
          </w:p>
        </w:tc>
      </w:tr>
      <w:tr w:rsidR="00D9134A" w:rsidRPr="00D9134A" w14:paraId="4310796D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BED9AAC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Sostenibilità del progetto</w:t>
            </w:r>
          </w:p>
          <w:p w14:paraId="5553819D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Indicare se il progetto, una volta terminate le risorse iniziali, può auto-sostenersi o trovare altre fonti per continuare nel tempo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FA048A9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Il progetto e in fase di verifica per utilizzo fondi 285 o PON inclusione (</w:t>
            </w:r>
            <w:proofErr w:type="spell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child</w:t>
            </w:r>
            <w:proofErr w:type="spell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</w:t>
            </w:r>
            <w:proofErr w:type="spell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guarantee</w:t>
            </w:r>
            <w:proofErr w:type="spell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)</w:t>
            </w:r>
          </w:p>
        </w:tc>
      </w:tr>
      <w:tr w:rsidR="00D9134A" w:rsidRPr="00D9134A" w14:paraId="430CD81A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6A0F1227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Strumenti di comunicazione utilizzati</w:t>
            </w:r>
          </w:p>
          <w:p w14:paraId="5F384DEA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Illustrare quali mezzi di comunicazione sono stati utilizzati per 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lastRenderedPageBreak/>
              <w:t>pubblicizzare l’iniziativa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E11EB7E" w14:textId="77777777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lastRenderedPageBreak/>
              <w:t>Il progetto, promosso dal Comune di Milano, è stato sponsorizzato tramite i canali istituzionali del Comune stesso (sito internet, newsletter cittadina, comunicazione a scuole e Servi Territoriali).</w:t>
            </w:r>
          </w:p>
          <w:p w14:paraId="60840050" w14:textId="77777777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Successivamente è stato possibile iniziare un’opera di comunicazione e informazione più prossimale sul territorio cittadino grazie all’opera degli operatori di rete.</w:t>
            </w:r>
          </w:p>
        </w:tc>
      </w:tr>
      <w:tr w:rsidR="00D9134A" w:rsidRPr="00D9134A" w14:paraId="11FEB747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ECB2B85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Punti di forza del progetto</w:t>
            </w:r>
          </w:p>
          <w:p w14:paraId="3351717F" w14:textId="77777777" w:rsidR="00BB6790" w:rsidRPr="00D9134A" w:rsidRDefault="00BB6790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567BE95B" w14:textId="77777777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Il punto di forza principale del progetto è l’integrazione di diverse professionalità e discipline all’interno di una rete di collaboratori che sono distribuiti su tutti i municipi della città di Milano, offrendo quindi un servizio di prossimità che possa intervenire nell’accogliere richieste di aiuto, sfoltire le liste di attesa dei Servizi Sanitari e lavorare per prevenire l’acutizzazione di fatiche evolutive che possono trovare beneficio da un intervento tempestivo.</w:t>
            </w:r>
          </w:p>
          <w:p w14:paraId="6AB42830" w14:textId="77777777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Tra gli elementi innovativi e sperimentali del progetto vi è la formazione e supervisione permanente di tutti gli operatori che partecipano a incontri volti a costruire un modello di lavoro omogeneo e integrato, che possa essere trasferibile.</w:t>
            </w:r>
          </w:p>
          <w:p w14:paraId="1C76BB5E" w14:textId="67859688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Viene introdotta la fi</w:t>
            </w:r>
            <w:r w:rsidR="00F53FC6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gura </w:t>
            </w:r>
            <w:r w:rsidR="00F53FC6"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dell’operatore di rete</w:t>
            </w:r>
            <w:r w:rsidR="00F53FC6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,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che si occupa della mappatura ma anche del raccordo con gli altri Enti e dell’accompagnamento alle risorse territoriali formali e informali. Tali figure hanno un ruolo di snodo e svolgono funzioni di raccordo tra l’ascolto telefonico/chat, i percorsi sul territorio e quelli specialistici. </w:t>
            </w:r>
            <w:r w:rsidR="00D9134A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Inoltre,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offrono percorsi di accompagnamento e orientamento degli utenti verso i servizi municipali più adeguati </w:t>
            </w:r>
            <w:proofErr w:type="gram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per</w:t>
            </w:r>
            <w:proofErr w:type="gram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rispondere ai bisogni emersi.</w:t>
            </w:r>
          </w:p>
        </w:tc>
      </w:tr>
      <w:tr w:rsidR="00D9134A" w:rsidRPr="00D9134A" w14:paraId="099816B5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3C9E61F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Problematicità sorte durante l’attuazione del progetto</w:t>
            </w:r>
          </w:p>
          <w:p w14:paraId="238E3078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Indicare eventuali difficoltà incontrate nell’attuazione del progetto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0E63327" w14:textId="374EEEC4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Tra le problematiche emerse vi è l’iniziale avvio del progetto che per complessità legata all’architettura multilivello e multidisciplinare del progetto stesso, ha richiesto </w:t>
            </w:r>
            <w:r w:rsidR="00D9134A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un iniziale allineamento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degli operatori e la costruzione di un modello condiviso di lavoro.</w:t>
            </w:r>
          </w:p>
          <w:p w14:paraId="3A45248D" w14:textId="1AF56F84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Altro aspetto problematico iniziale è legato alla diffusione e conoscenza del progetto tra la cittadinanza, aspetto che nei primi mesi </w:t>
            </w:r>
            <w:r w:rsidR="00D9134A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abbia fatto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si che le richieste e i contatti al servizio fossero limitati, aspetto che però </w:t>
            </w:r>
            <w:r w:rsidR="00D9134A"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successivamente sia andato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scemando.</w:t>
            </w:r>
          </w:p>
        </w:tc>
      </w:tr>
      <w:tr w:rsidR="00D9134A" w:rsidRPr="00D9134A" w14:paraId="457E1090" w14:textId="77777777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AABDD4B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 xml:space="preserve">Il progetto è stato oggetto di valutazione? Se sì di che tipo? 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E556149" w14:textId="77777777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È prevista la presenza di un’agenzia di esperti che si occupa di svolgere una Valutazione d’Impatto Sociale del progetto per il controllo delle attività progettuali, per realizzare un programma di monitoraggio e valutazione che preveda: verifiche in itinere e ex-post attraverso l’analisi dei questionari del livello di soddisfazione dei destinatari, e  degli operatori del progetto; verifiche in itinere e ex-post del livello di conoscenza e percezione del progetto da parte dei destinatari, degli operatori dei servizi territoriali e della cittadinanza, con l’obiettivo di verificare l’efficacia di Progetto </w:t>
            </w:r>
            <w:proofErr w:type="spell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AccogliMi</w:t>
            </w:r>
            <w:proofErr w:type="spell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nel rendere il contesto della città più in grado di comprendere i bisogni degli adolescenti di oggi e rispondere alle loro necessità di sviluppo.</w:t>
            </w:r>
          </w:p>
          <w:p w14:paraId="4C81FB98" w14:textId="77777777" w:rsidR="00BB6790" w:rsidRPr="00D9134A" w:rsidRDefault="00246B2C" w:rsidP="00D9134A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(</w:t>
            </w:r>
            <w:proofErr w:type="spellStart"/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ved</w:t>
            </w:r>
            <w:proofErr w:type="spellEnd"/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. valutazione d'impatto tra gli allegati)</w:t>
            </w:r>
          </w:p>
          <w:p w14:paraId="0FD04F47" w14:textId="77777777" w:rsidR="00BB6790" w:rsidRPr="00D9134A" w:rsidRDefault="00BB6790" w:rsidP="00D9134A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134A" w:rsidRPr="00D9134A" w14:paraId="7192A7FA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04E3FE1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>Parole Chiave per descrivere il progetto</w:t>
            </w: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(massimo 5)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4F54CDE" w14:textId="77777777" w:rsidR="00BB6790" w:rsidRPr="00D9134A" w:rsidRDefault="00246B2C">
            <w:p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Adolescenza, bisogni evolutivi, ascolto, supporto psicologico, rete</w:t>
            </w:r>
          </w:p>
        </w:tc>
      </w:tr>
      <w:tr w:rsidR="00D9134A" w:rsidRPr="00D9134A" w14:paraId="622CB57A" w14:textId="77777777">
        <w:trPr>
          <w:trHeight w:val="1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2431F07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b/>
                <w:color w:val="000000" w:themeColor="text1"/>
                <w:position w:val="-1"/>
              </w:rPr>
              <w:t xml:space="preserve">Allegati </w:t>
            </w:r>
          </w:p>
          <w:p w14:paraId="040A171A" w14:textId="77777777" w:rsidR="00BB6790" w:rsidRPr="00D9134A" w:rsidRDefault="00246B2C">
            <w:pPr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proofErr w:type="gramStart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Inviare  in</w:t>
            </w:r>
            <w:proofErr w:type="gramEnd"/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 formato elettronico i file di interesse oppure indicare i link per l'accesso al materiale di tutto ciò che aiuta la Commissione a valutare nel merito il progetto, soprattutto per i risultati raggiunti, ad es.:</w:t>
            </w:r>
          </w:p>
          <w:p w14:paraId="122505D5" w14:textId="77777777" w:rsidR="00BB6790" w:rsidRPr="00D9134A" w:rsidRDefault="00246B2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lastRenderedPageBreak/>
              <w:t>documento di progetto</w:t>
            </w:r>
          </w:p>
          <w:p w14:paraId="315D7780" w14:textId="77777777" w:rsidR="00BB6790" w:rsidRPr="00D9134A" w:rsidRDefault="00246B2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budget revisionale e consuntivo</w:t>
            </w:r>
          </w:p>
          <w:p w14:paraId="69BE2909" w14:textId="77777777" w:rsidR="00BB6790" w:rsidRPr="00D9134A" w:rsidRDefault="00246B2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valutazione del progetto a cura dei progettisti</w:t>
            </w:r>
          </w:p>
          <w:p w14:paraId="3F393FAC" w14:textId="77777777" w:rsidR="00BB6790" w:rsidRPr="00D9134A" w:rsidRDefault="00246B2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materiali promozionali</w:t>
            </w:r>
          </w:p>
          <w:p w14:paraId="124C7790" w14:textId="77777777" w:rsidR="00BB6790" w:rsidRPr="00D9134A" w:rsidRDefault="00246B2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video</w:t>
            </w:r>
          </w:p>
          <w:p w14:paraId="1A938D22" w14:textId="77777777" w:rsidR="00BB6790" w:rsidRPr="00D9134A" w:rsidRDefault="00246B2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-1" w:hanging="2"/>
              <w:jc w:val="both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foto</w:t>
            </w:r>
          </w:p>
          <w:p w14:paraId="2999FF36" w14:textId="77777777" w:rsidR="00BB6790" w:rsidRPr="00D9134A" w:rsidRDefault="00246B2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-1" w:hanging="2"/>
              <w:jc w:val="both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ecc.</w:t>
            </w:r>
          </w:p>
        </w:tc>
        <w:tc>
          <w:tcPr>
            <w:tcW w:w="10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13E07464" w14:textId="77777777" w:rsidR="00BB6790" w:rsidRPr="00D9134A" w:rsidRDefault="00246B2C">
            <w:pPr>
              <w:spacing w:after="0" w:line="240" w:lineRule="auto"/>
              <w:ind w:left="-1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lastRenderedPageBreak/>
              <w:t xml:space="preserve">Link al sito del comune di Milano: </w:t>
            </w:r>
            <w:hyperlink r:id="rId7">
              <w:r w:rsidRPr="00D9134A">
                <w:rPr>
                  <w:rFonts w:ascii="Arial" w:eastAsia="Garamond" w:hAnsi="Arial" w:cs="Arial"/>
                  <w:color w:val="000000" w:themeColor="text1"/>
                  <w:position w:val="-1"/>
                  <w:u w:val="single"/>
                </w:rPr>
                <w:t>https://www.comune.milano.it/servizi-sociali/accoglimi</w:t>
              </w:r>
            </w:hyperlink>
          </w:p>
          <w:p w14:paraId="24DDD587" w14:textId="77777777" w:rsidR="00BB6790" w:rsidRPr="00D9134A" w:rsidRDefault="00BB6790">
            <w:pPr>
              <w:spacing w:after="0" w:line="240" w:lineRule="auto"/>
              <w:ind w:left="-1"/>
              <w:rPr>
                <w:rFonts w:ascii="Arial" w:eastAsia="Garamond" w:hAnsi="Arial" w:cs="Arial"/>
                <w:color w:val="000000" w:themeColor="text1"/>
                <w:position w:val="-1"/>
              </w:rPr>
            </w:pPr>
          </w:p>
          <w:p w14:paraId="6D557488" w14:textId="77777777" w:rsidR="00BB6790" w:rsidRPr="00D9134A" w:rsidRDefault="00000000">
            <w:pPr>
              <w:spacing w:after="0" w:line="240" w:lineRule="auto"/>
              <w:ind w:left="-1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hyperlink r:id="rId8">
              <w:r w:rsidR="00246B2C" w:rsidRPr="00D9134A">
                <w:rPr>
                  <w:rFonts w:ascii="Arial" w:eastAsia="Garamond" w:hAnsi="Arial" w:cs="Arial"/>
                  <w:color w:val="000000" w:themeColor="text1"/>
                  <w:position w:val="-1"/>
                  <w:u w:val="single"/>
                </w:rPr>
                <w:t>https://www.comune.milano.it/-/welfare.-con-accoglimi-nasce-il-sistema-comunale-di-orientamento-psicologico-per-adolescenti</w:t>
              </w:r>
            </w:hyperlink>
          </w:p>
          <w:p w14:paraId="62A08349" w14:textId="77777777" w:rsidR="00BB6790" w:rsidRPr="00D9134A" w:rsidRDefault="00BB6790" w:rsidP="00D9134A">
            <w:pPr>
              <w:spacing w:after="0" w:line="240" w:lineRule="auto"/>
              <w:rPr>
                <w:rFonts w:ascii="Arial" w:eastAsia="Garamond" w:hAnsi="Arial" w:cs="Arial"/>
                <w:color w:val="000000" w:themeColor="text1"/>
                <w:position w:val="-1"/>
              </w:rPr>
            </w:pPr>
          </w:p>
          <w:p w14:paraId="42D9755E" w14:textId="77777777" w:rsidR="00BB6790" w:rsidRPr="00D9134A" w:rsidRDefault="00246B2C">
            <w:pPr>
              <w:numPr>
                <w:ilvl w:val="0"/>
                <w:numId w:val="5"/>
              </w:num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il volantino </w:t>
            </w:r>
          </w:p>
          <w:p w14:paraId="2B786C91" w14:textId="77777777" w:rsidR="00BB6790" w:rsidRPr="00D9134A" w:rsidRDefault="00246B2C">
            <w:pPr>
              <w:numPr>
                <w:ilvl w:val="0"/>
                <w:numId w:val="5"/>
              </w:num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Podcast sindaco </w:t>
            </w:r>
          </w:p>
          <w:p w14:paraId="45E9D336" w14:textId="77777777" w:rsidR="00BB6790" w:rsidRPr="00D9134A" w:rsidRDefault="00246B2C">
            <w:pPr>
              <w:numPr>
                <w:ilvl w:val="0"/>
                <w:numId w:val="5"/>
              </w:num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Rassegna stampa </w:t>
            </w:r>
          </w:p>
          <w:p w14:paraId="3658A4F8" w14:textId="77777777" w:rsidR="00BB6790" w:rsidRPr="00D9134A" w:rsidRDefault="00246B2C">
            <w:pPr>
              <w:numPr>
                <w:ilvl w:val="0"/>
                <w:numId w:val="5"/>
              </w:numPr>
              <w:spacing w:after="0" w:line="240" w:lineRule="auto"/>
              <w:ind w:left="-1" w:hanging="2"/>
              <w:rPr>
                <w:rFonts w:ascii="Arial" w:eastAsia="Garamond" w:hAnsi="Arial" w:cs="Arial"/>
                <w:color w:val="000000" w:themeColor="text1"/>
                <w:position w:val="-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 xml:space="preserve">Report dati </w:t>
            </w:r>
          </w:p>
          <w:p w14:paraId="01BD9C95" w14:textId="77777777" w:rsidR="00BB6790" w:rsidRPr="00D9134A" w:rsidRDefault="00246B2C">
            <w:pPr>
              <w:numPr>
                <w:ilvl w:val="0"/>
                <w:numId w:val="5"/>
              </w:numPr>
              <w:spacing w:after="0" w:line="240" w:lineRule="auto"/>
              <w:ind w:left="-1" w:hanging="2"/>
              <w:rPr>
                <w:rFonts w:ascii="Arial" w:hAnsi="Arial" w:cs="Arial"/>
                <w:color w:val="000000" w:themeColor="text1"/>
              </w:rPr>
            </w:pPr>
            <w:r w:rsidRPr="00D9134A">
              <w:rPr>
                <w:rFonts w:ascii="Arial" w:eastAsia="Garamond" w:hAnsi="Arial" w:cs="Arial"/>
                <w:color w:val="000000" w:themeColor="text1"/>
                <w:position w:val="-1"/>
              </w:rPr>
              <w:t>Valutazione d'impatto</w:t>
            </w:r>
          </w:p>
        </w:tc>
      </w:tr>
    </w:tbl>
    <w:p w14:paraId="683AEFBF" w14:textId="77777777" w:rsidR="00BB6790" w:rsidRPr="00D9134A" w:rsidRDefault="00BB6790">
      <w:pPr>
        <w:spacing w:after="0" w:line="240" w:lineRule="auto"/>
        <w:ind w:hanging="3"/>
        <w:jc w:val="center"/>
        <w:rPr>
          <w:rFonts w:ascii="Arial" w:eastAsia="Garamond" w:hAnsi="Arial" w:cs="Arial"/>
          <w:color w:val="000000" w:themeColor="text1"/>
          <w:position w:val="-1"/>
        </w:rPr>
      </w:pPr>
    </w:p>
    <w:p w14:paraId="380C6ED8" w14:textId="77777777" w:rsidR="00BB6790" w:rsidRPr="00D9134A" w:rsidRDefault="00246B2C">
      <w:pPr>
        <w:spacing w:after="0" w:line="240" w:lineRule="auto"/>
        <w:ind w:hanging="3"/>
        <w:jc w:val="both"/>
        <w:rPr>
          <w:rFonts w:ascii="Arial" w:eastAsia="Times New Roman" w:hAnsi="Arial" w:cs="Arial"/>
          <w:color w:val="000000" w:themeColor="text1"/>
          <w:position w:val="-1"/>
        </w:rPr>
      </w:pPr>
      <w:r w:rsidRPr="00D9134A">
        <w:rPr>
          <w:rFonts w:ascii="Arial" w:eastAsia="Tahoma" w:hAnsi="Arial" w:cs="Arial"/>
          <w:color w:val="000000" w:themeColor="text1"/>
          <w:position w:val="-1"/>
        </w:rPr>
        <w:t xml:space="preserve">     </w:t>
      </w:r>
    </w:p>
    <w:sectPr w:rsidR="00BB6790" w:rsidRPr="00D9134A" w:rsidSect="00246B2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9D"/>
    <w:multiLevelType w:val="multilevel"/>
    <w:tmpl w:val="BC383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70B72"/>
    <w:multiLevelType w:val="multilevel"/>
    <w:tmpl w:val="89F88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BC54F7"/>
    <w:multiLevelType w:val="multilevel"/>
    <w:tmpl w:val="962EE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AE180A"/>
    <w:multiLevelType w:val="multilevel"/>
    <w:tmpl w:val="E8604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0D69C0"/>
    <w:multiLevelType w:val="multilevel"/>
    <w:tmpl w:val="7DDAA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9100397">
    <w:abstractNumId w:val="0"/>
  </w:num>
  <w:num w:numId="2" w16cid:durableId="747769754">
    <w:abstractNumId w:val="1"/>
  </w:num>
  <w:num w:numId="3" w16cid:durableId="1978760409">
    <w:abstractNumId w:val="3"/>
  </w:num>
  <w:num w:numId="4" w16cid:durableId="234827710">
    <w:abstractNumId w:val="4"/>
  </w:num>
  <w:num w:numId="5" w16cid:durableId="1424376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90"/>
    <w:rsid w:val="00065109"/>
    <w:rsid w:val="00246B2C"/>
    <w:rsid w:val="00AC0BF5"/>
    <w:rsid w:val="00BB6790"/>
    <w:rsid w:val="00D9134A"/>
    <w:rsid w:val="00E6443D"/>
    <w:rsid w:val="00F5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51E6"/>
  <w15:docId w15:val="{F8423F98-E142-0349-B7C9-85319261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53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3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milano.it/-/welfare.-con-accoglimi-nasce-il-sistema-comunale-di-orientamento-psicologico-per-adolesc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milano.it/servizi-sociali/accogli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cittasane.it/" TargetMode="External"/><Relationship Id="rId5" Type="http://schemas.openxmlformats.org/officeDocument/2006/relationships/hyperlink" Target="mailto:info@pec.retecittasa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Papa</cp:lastModifiedBy>
  <cp:revision>3</cp:revision>
  <dcterms:created xsi:type="dcterms:W3CDTF">2023-04-20T14:51:00Z</dcterms:created>
  <dcterms:modified xsi:type="dcterms:W3CDTF">2023-04-20T15:04:00Z</dcterms:modified>
</cp:coreProperties>
</file>